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2" w:rsidRDefault="001C24E2" w:rsidP="001C24E2">
      <w:pPr>
        <w:keepNext/>
        <w:suppressAutoHyphens/>
        <w:spacing w:line="240" w:lineRule="auto"/>
        <w:jc w:val="center"/>
        <w:outlineLvl w:val="2"/>
        <w:rPr>
          <w:rFonts w:ascii="Calibri" w:eastAsia="Times New Roman" w:hAnsi="Calibri" w:cs="Times New Roman"/>
          <w:b/>
          <w:bCs/>
          <w:kern w:val="2"/>
          <w:sz w:val="24"/>
          <w:szCs w:val="24"/>
          <w:lang w:eastAsia="ar-SA"/>
        </w:rPr>
      </w:pPr>
      <w:bookmarkStart w:id="0" w:name="_Toc412471238"/>
      <w:bookmarkStart w:id="1" w:name="_GoBack"/>
      <w:r>
        <w:rPr>
          <w:rFonts w:ascii="Calibri" w:eastAsia="Times New Roman" w:hAnsi="Calibri" w:cs="Times New Roman"/>
          <w:b/>
          <w:bCs/>
          <w:kern w:val="2"/>
          <w:sz w:val="24"/>
          <w:szCs w:val="24"/>
          <w:lang w:eastAsia="ar-SA"/>
        </w:rPr>
        <w:t>CCNL TURISMO E PUBBLICI ESERCIZI</w:t>
      </w:r>
    </w:p>
    <w:bookmarkEnd w:id="1"/>
    <w:p w:rsidR="001C24E2" w:rsidRPr="001C24E2" w:rsidRDefault="001C24E2" w:rsidP="001C24E2">
      <w:pPr>
        <w:keepNext/>
        <w:suppressAutoHyphens/>
        <w:spacing w:line="240" w:lineRule="auto"/>
        <w:outlineLvl w:val="2"/>
        <w:rPr>
          <w:rFonts w:ascii="Calibri" w:eastAsia="Times New Roman" w:hAnsi="Calibri" w:cs="Times New Roman"/>
          <w:bCs/>
          <w:kern w:val="2"/>
          <w:sz w:val="24"/>
          <w:szCs w:val="24"/>
          <w:lang w:val="x-none" w:eastAsia="ar-SA"/>
        </w:rPr>
      </w:pPr>
      <w:r w:rsidRPr="001C24E2">
        <w:rPr>
          <w:rFonts w:ascii="Calibri" w:eastAsia="Times New Roman" w:hAnsi="Calibri" w:cs="Times New Roman"/>
          <w:b/>
          <w:bCs/>
          <w:kern w:val="2"/>
          <w:sz w:val="24"/>
          <w:szCs w:val="24"/>
          <w:lang w:val="x-none" w:eastAsia="ar-SA"/>
        </w:rPr>
        <w:t>Articolo 1 - Validità e sfera di applicazione</w:t>
      </w:r>
      <w:bookmarkEnd w:id="0"/>
    </w:p>
    <w:p w:rsidR="001C24E2" w:rsidRPr="001C24E2" w:rsidRDefault="001C24E2" w:rsidP="001C24E2">
      <w:pPr>
        <w:suppressAutoHyphens/>
        <w:spacing w:line="100" w:lineRule="atLeast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(1) Il presente Contratto Collettivo Nazionale di Lavoro disciplina i rapporti di lavoro</w:t>
      </w:r>
      <w:r w:rsidRPr="001C24E2">
        <w:rPr>
          <w:rFonts w:ascii="Calibri" w:eastAsia="SimSun" w:hAnsi="Calibri" w:cs="Verdana"/>
          <w:color w:val="0000FF"/>
          <w:kern w:val="2"/>
          <w:sz w:val="24"/>
          <w:szCs w:val="24"/>
          <w:lang w:eastAsia="ar-SA"/>
        </w:rPr>
        <w:t xml:space="preserve"> </w:t>
      </w: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del personale dipendente delle  aziende sotto elencate: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Aziende alberghiere, alberghi diurni, ostelli, affittacamere e “bed and breakfast”, attività di agriturismo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Complessi turistico-ricettivi all'aria aperta, campeggi, parchi divertimenti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Centri termali, SPA e centri benessere integrati in strutture ricettive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Musei privati, organizzatori di mostre ed esposizioni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Pubblici esercizi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Stabilimenti balneari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Imprese e agenzie di viaggi e turismo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Porti ed approdi turistici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Rifugi alpini</w:t>
      </w:r>
    </w:p>
    <w:p w:rsidR="001C24E2" w:rsidRPr="001C24E2" w:rsidRDefault="001C24E2" w:rsidP="001C24E2">
      <w:pPr>
        <w:numPr>
          <w:ilvl w:val="0"/>
          <w:numId w:val="1"/>
        </w:numPr>
        <w:suppressAutoHyphens/>
        <w:spacing w:after="0" w:line="240" w:lineRule="auto"/>
        <w:ind w:left="265" w:hanging="188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1C24E2">
        <w:rPr>
          <w:rFonts w:ascii="Calibri" w:eastAsia="SimSun" w:hAnsi="Calibri" w:cs="Times New Roman"/>
          <w:kern w:val="2"/>
          <w:sz w:val="24"/>
          <w:szCs w:val="24"/>
          <w:lang w:eastAsia="ar-SA"/>
        </w:rPr>
        <w:t>Aziende che svolgono servizio di trasporto, ed attività connesse, prevalentemente in ambito turistico.</w:t>
      </w:r>
    </w:p>
    <w:p w:rsidR="00E072E0" w:rsidRDefault="00E072E0"/>
    <w:sectPr w:rsidR="00E072E0" w:rsidSect="00FB263E">
      <w:pgSz w:w="11900" w:h="16840"/>
      <w:pgMar w:top="1340" w:right="1020" w:bottom="28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85F"/>
    <w:multiLevelType w:val="hybridMultilevel"/>
    <w:tmpl w:val="EFBEF0FE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E2"/>
    <w:rsid w:val="001C24E2"/>
    <w:rsid w:val="00E072E0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Pariscenti</dc:creator>
  <cp:lastModifiedBy>Matteo Pariscenti</cp:lastModifiedBy>
  <cp:revision>1</cp:revision>
  <dcterms:created xsi:type="dcterms:W3CDTF">2017-11-03T16:09:00Z</dcterms:created>
  <dcterms:modified xsi:type="dcterms:W3CDTF">2017-11-03T16:10:00Z</dcterms:modified>
</cp:coreProperties>
</file>