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 xml:space="preserve">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CERTIFICAZIONE DEL CONTRATTO DI LAVORO</w:t>
      </w:r>
    </w:p>
    <w:bookmarkEnd w:id="0"/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Il D.Lgs.276/2003 ha introdotto e disciplinato il procedimento della certificazione.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Tramite questa procedura, le parti (datore di lavoro e lavoratore) possono fare attestare che il contratto di lavoro che vogliono sottoscrivere ha i requisiti di forma e contenuto richiesti dalla legge per il tipo (qualificato) di rapporto di lavoro.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funzione è quella di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ridurre il contenzioso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materia.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 seguito delle modifiche introdotte dalla L.183/2010, c.d. collegato lavoro, la certificazione è ritenuta uno strumento idoneo a deflazionare tutto il contenzioso in materia di lavoro, non solo in materia di qualificazione del rapporto di lavoro.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A) Di fatto, il datore di lavoro e il prestatore di lavoro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spontaneamente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congiuntamente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possono rivolgersi ad apposite commissioni di certificazione per certificare i “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contratti in cui sia dedotta, direttamente o indirettamente, una prestazione di lavoro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”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(art.75 D.Lgs.276/2003, come </w:t>
      </w:r>
      <w:proofErr w:type="spellStart"/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modif</w:t>
      </w:r>
      <w:proofErr w:type="spellEnd"/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 dalla L.183/2010).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certificazione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può essere utilizzata anche per (artt.82-84 D.Lgs.276/2003):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avallare le rinunce e transazioni di cui all’art.2113 c.c.;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il deposito dei regolamenti interni delle cooperative di lavoro, con riferimento alla tipologia dei rapporti di lavoro attuati o che si intendono attuare con i soci;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sede di stipulazione di un contratto di appalto (ex art.1655 c.c.), per distinguerlo dalla somministrazione disciplinata dagli artt.20ss. del D.Lgs.276/2003;</w:t>
      </w:r>
    </w:p>
    <w:p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Infine, a pena di nullità, deve essere certificata la clausola compromissoria, con la quale le parti intendono devolvere ad arbitri la soluzione di eventuali controversie nascenti dal rapporto di lavoro.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Gli </w:t>
      </w:r>
      <w:r w:rsidRPr="0055537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Organismi di Certificazione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(o meglio le Commissioni di Certificazione) (art.76) possono essere costituite presso: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lastRenderedPageBreak/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enti bilaterali, costituiti da una o più associazioni di datori e lavoratori comparativamente più rappresentative;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le Direzioni Territoriali del Lavoro (DTL) e delle Province;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le Università Pubbliche e Private e le Fondazioni Universitarie;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 Consigli Provinciali dei consulenti del lavoro;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la Direzione generale della tutela delle condizioni di lavoro del Ministero del Lavoro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B) L’avvio della procedura di certificazione avviene con apposita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istanza redatta per iscritto e sottoscritta da entrambe le parti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del contratto di lavoro presentata alla competente Commissione di Certificazione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(art.3, co.3, D.M.21/07/2004 e circ. Min. Lav.48/2004).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La Commissione svolge attività di assistenza e assistenza per la stipula del contratto e l’individuazione del programma negoziale, “</w:t>
      </w:r>
      <w:r w:rsidRPr="00555376">
        <w:rPr>
          <w:rFonts w:ascii="Garamond" w:eastAsia="Times New Roman" w:hAnsi="Garamond" w:cs="Times New Roman"/>
          <w:i/>
          <w:sz w:val="24"/>
          <w:szCs w:val="24"/>
          <w:lang w:eastAsia="it-IT"/>
        </w:rPr>
        <w:t>verificando l’esatta qualificazione del rapporto che le parti intendono costituire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”.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Avanti ad essa è prevista una fase di audizione delle parti che possono farsi assistere da rappresentanti sindacali o professionisti abilitati (l’assistenza è obbligatoria se una delle parti è presente in persona di un proprio rappresentante).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C) L’avvio della procedura di certificazione deve essere comunicata alla DTL, che ha il compito di darne notizia a sua volta alle autorità pubbliche (INPS, INAIL,…) nei confronti delle quali la certificazione produrrà effetti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D) Il procedimento di certificazione deve concludersi entro 30 giorni dal ricevimento della istanza mediante l’adozione dell’atto di certificazione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L’atto di certificazione ha natura amministrativa, deve essere motivato e sottoscritto dai membri della Commissione.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 contratti di lavoro certificati e la relativa documentazione devono essere conservati, presso le sedi di certificazione, per un periodo di almeno 5 anni a far data dalla loro scadenza.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Nella redazione dell’atto di certificazione devono essere indicati espressamente gli effetti civili, amministrativi, fiscali e previdenziali del contratto certificato.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Tali effetti, connessi alla natura del contratto di lavoro, permangono tra le parti del contratto e verso i terzi, anche in caso di contenzioso, fino all’esito di un eventuale ricorso relativo alla certificazione stessa. (art.79, co., D.Lgs.276/2003).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Inoltre, la L.183/2010 (c.d. collegato lavoro) ha precisato: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caso di contratto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in corso di esecuzione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gli effetti della certificazione retroagiscono fino al momento di inizio del contratto, ove la commissione abbia appurato la corrispondenza tra il contratto da certificare e l’effettivo rapporto di lavoro, in base alla sua attuazione anche nel periodo precedente alla propria attività istruttoria.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In pratica, il concreto svolgimento del rapporto deve essere compatibile con quanto la Commissione abbia appurato in sede di certificazione del contratto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555376" w:rsidRPr="00555376" w:rsidRDefault="00555376" w:rsidP="0055537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Garamond" w:hAnsi="Garamond" w:cs="Garamond"/>
          <w:sz w:val="24"/>
          <w:szCs w:val="24"/>
          <w:lang w:eastAsia="it-IT"/>
        </w:rPr>
        <w:t>-</w:t>
      </w:r>
      <w:r w:rsidRPr="00555376">
        <w:rPr>
          <w:rFonts w:ascii="Times New Roman" w:eastAsia="Garamond" w:hAnsi="Times New Roman" w:cs="Times New Roman"/>
          <w:sz w:val="14"/>
          <w:szCs w:val="14"/>
          <w:lang w:eastAsia="it-IT"/>
        </w:rPr>
        <w:t xml:space="preserve">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caso di contratti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non ancora sottoscritti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dalle parti, gli effetti della certificazione si producono soltanto ove e nel momento in cui queste ultime provvedano a sottoscriverli, con le eventuali integrazioni e modifiche suggerite dalla Commissione adita.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E) Le parti o i terzi possono impugnare l’atto certificato nel caso in cui ritengano sussistente un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errore di qualificazione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o 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difformità</w:t>
      </w: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tra il programma negoziale dichiarato nella procedura di certificazione e quello effettivamente realizzato dalle parti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caso sia accertato in giudizio un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errore di qualificazione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 la certificazione sarà nulla e tra le parti si riterrà esistente fin dall’origine il contratto che esse effettivamente intendevano realizzare, indipendentemente da quello che erroneamente fu rilevato nella procedura di certificazione.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caso, invece, sia rilevata la </w:t>
      </w: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difformità del programma negoziale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posto in essere, l’accertamento giudiziale ha effetto dal momento in cui la sentenza accerti che ha avuto inizio tale difformità.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°°°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 xml:space="preserve">F) Solo le parti del contratto possono, invece, adire l’autorità giudiziaria per far valere un vizio del consenso 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(errore, dolo, violenza). Anche in tal caso, se accertato il vizio, la certificazione sarà nulla fin dall’inizio.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G) Il contenzioso si svolge avanti al Tribunale in funzione di Giudice del Lavoro competente ai sensi dell’art.413 </w:t>
      </w:r>
      <w:proofErr w:type="spellStart"/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c.p.c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proofErr w:type="spellEnd"/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L’azione giudiziaria deve essere preceduta obbligatoriamente da un tentativo di conciliazione da effettuare innanzi alla stessa Commissione che ha proceduto alla certificazione (art.80, co.4, D.Lgs.276/2003).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sz w:val="24"/>
          <w:szCs w:val="24"/>
          <w:lang w:eastAsia="it-IT"/>
        </w:rPr>
        <w:t>È possibile impugnare l’atto certificato anche in sede amministrativa solo nell’ipotesi in cui sussista una violazione della procedura di certificazione o un vizio di eccesso di potere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In questo caso è competente il Tribunale amministrativo regionale (TAR) nella cui giurisdizione ha sede la commissione che ha adottato l’atto di certificazione.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Per concludere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la certificazione, attraverso l’esatta qualificazione giuridica del contratto, stabilisce gli effetti giuridici che dallo stesso discendono. Se ad esempio si certifica un contratto di lavoro a progetto, il lavoratore non potrà richiedere alla scadenza del contratto il pagamento del trattamento di fine rapporto, che compete invece al lavoratore subordinato.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Anche in sede processuale il </w:t>
      </w: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Giudice non può prescindere dalle valutazioni delle parti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, espresse in sede di certificazione (art.30, co.2, L.183/2010).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Gli effetti del contratto certificato resistono anche all’accertamento ispettivo</w:t>
      </w: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L’organo di vigilanza, infatti, che nel corso di una ispezione rilevi, ad esempio, la difformità tra le modalità di svolgimento del rapporto e quelle proprie della tipologia contrattuale, non può intervenire sulla diversa qualificazione giuridica del contratto, ma solo verbalizzare l’irregolarità riscontrata. </w:t>
      </w:r>
    </w:p>
    <w:p w:rsidR="00555376" w:rsidRPr="00555376" w:rsidRDefault="00555376" w:rsidP="005553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5376">
        <w:rPr>
          <w:rFonts w:ascii="Garamond" w:eastAsia="Times New Roman" w:hAnsi="Garamond" w:cs="Times New Roman"/>
          <w:sz w:val="24"/>
          <w:szCs w:val="24"/>
          <w:lang w:eastAsia="it-IT"/>
        </w:rPr>
        <w:t>L’unico strumento utile a disposizione per mettere in discussione la natura del contratto certificato è il ricorso alla via giurisdizionale</w:t>
      </w:r>
    </w:p>
    <w:p w:rsidR="00E072E0" w:rsidRDefault="00E072E0"/>
    <w:sectPr w:rsidR="00E072E0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6"/>
    <w:rsid w:val="00555376"/>
    <w:rsid w:val="00E072E0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1</cp:revision>
  <dcterms:created xsi:type="dcterms:W3CDTF">2014-08-01T09:57:00Z</dcterms:created>
  <dcterms:modified xsi:type="dcterms:W3CDTF">2014-08-01T09:59:00Z</dcterms:modified>
</cp:coreProperties>
</file>